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               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01.03.2025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center"/>
        <w:rPr>
          <w:rFonts w:ascii="Tinos" w:hAnsi="Tinos" w:eastAsia="Tinos" w:cs="Tinos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nos" w:hAnsi="Tinos" w:eastAsia="Tinos" w:cs="Tinos"/>
          <w:b/>
          <w:bCs/>
          <w:sz w:val="28"/>
          <w:szCs w:val="28"/>
          <w:highlight w:val="white"/>
          <w:lang w:val="ru-RU"/>
        </w:rPr>
        <w:t xml:space="preserve">Правоудостоверяющие документы на землю переданы</w:t>
      </w:r>
      <w:r>
        <w:rPr>
          <w:rFonts w:ascii="Tinos" w:hAnsi="Tinos" w:eastAsia="Tinos" w:cs="Tinos"/>
          <w:b/>
          <w:bCs/>
          <w:sz w:val="28"/>
          <w:szCs w:val="28"/>
          <w:highlight w:val="yellow"/>
        </w:rPr>
      </w:r>
      <w:r>
        <w:rPr>
          <w:rFonts w:ascii="Tinos" w:hAnsi="Tinos" w:eastAsia="Tinos" w:cs="Tinos"/>
          <w:b/>
          <w:bCs/>
          <w:sz w:val="28"/>
          <w:szCs w:val="28"/>
          <w:highlight w:val="yellow"/>
        </w:rPr>
      </w:r>
    </w:p>
    <w:p>
      <w:pPr>
        <w:ind w:left="0" w:right="0" w:firstLine="567"/>
        <w:jc w:val="both"/>
        <w:spacing w:line="360" w:lineRule="auto"/>
        <w:tabs>
          <w:tab w:val="left" w:pos="709" w:leader="none"/>
        </w:tabs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1 000 000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единиц хранения документов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было передано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самарским Росреестром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органы местного самоуправления Самарской области.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Вышеуказанные мероприятия осуществлялись с мая по декабрь 2024 года. </w: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ind w:left="0" w:right="0" w:firstLine="567"/>
        <w:jc w:val="both"/>
        <w:spacing w:line="36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переданным документам относятся: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6"/>
        <w:numPr>
          <w:ilvl w:val="0"/>
          <w:numId w:val="6"/>
        </w:numPr>
        <w:ind w:right="0"/>
        <w:jc w:val="both"/>
        <w:spacing w:line="36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свидетельства на право собственности, пожизненного наследуемого владения, постоянного (бессрочного) пользования, выданные гражданам и юридическим лицам в период 1992-1998 гг.;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6"/>
        <w:numPr>
          <w:ilvl w:val="0"/>
          <w:numId w:val="6"/>
        </w:numPr>
        <w:ind w:right="0"/>
        <w:jc w:val="both"/>
        <w:spacing w:line="36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государственные акты на право пользования землей;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6"/>
        <w:numPr>
          <w:ilvl w:val="0"/>
          <w:numId w:val="6"/>
        </w:numPr>
        <w:ind w:right="0"/>
        <w:jc w:val="both"/>
        <w:spacing w:line="36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договоры аренды земельных участков.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567"/>
        <w:jc w:val="both"/>
        <w:spacing w:line="360" w:lineRule="auto"/>
        <w:tabs>
          <w:tab w:val="left" w:pos="709" w:leader="none"/>
        </w:tabs>
        <w:rPr>
          <w:rFonts w:ascii="Times New Roman" w:hAnsi="Times New Roman" w:cs="Times New Roman"/>
          <w:sz w:val="40"/>
          <w:szCs w:val="40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Документы переданы по территориальному принципу в разрезе муниципальных районов Самарской области и городских округов.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завершающем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этапе мероприятий в Департамент градостроительства городского округа Самара (г. Самара, ул. Галактионовская, д. 132, адрес электронной почты: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dgs@samadm.ru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были переданы документы на земельные участки, расположенные на территории городского округа Самара.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40"/>
          <w:szCs w:val="40"/>
          <w14:ligatures w14:val="none"/>
        </w:rPr>
      </w:r>
    </w:p>
    <w:p>
      <w:pPr>
        <w:ind w:left="0" w:right="0" w:firstLine="567"/>
        <w:jc w:val="both"/>
        <w:spacing w:line="360" w:lineRule="auto"/>
        <w:tabs>
          <w:tab w:val="left" w:pos="709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Таким образом, в целях получения сведений о ранее возникших правах по состоянию на 1992-1998 гг. следует обращаться в соответствующие органы местного самоуправления Самарской области.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tabs>
          <w:tab w:val="left" w:pos="709" w:leader="none"/>
        </w:tabs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Подробная информация об органах местного самоуправления, которым были переданы массивы сведений о ранее возникших правах, размещена по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ссылке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329913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5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  <w:style w:type="paragraph" w:styleId="84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ja-JP" w:bidi="fa-I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2025-02-25T10:39:35Z</dcterms:modified>
</cp:coreProperties>
</file>